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A807" w14:textId="77777777" w:rsidR="00A030DD" w:rsidRDefault="00A030DD" w:rsidP="00B82D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KSMQ Public Service Media, Inc. – KSMQ TV,</w:t>
      </w:r>
    </w:p>
    <w:p w14:paraId="282822E6" w14:textId="52E31326" w:rsidR="00A030DD" w:rsidRDefault="00A030DD" w:rsidP="00B82D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Austin, Minnesota Annual Public File – FCC EEO Report</w:t>
      </w:r>
    </w:p>
    <w:p w14:paraId="7F3C2B7A" w14:textId="2ED446AB" w:rsidR="006776F2" w:rsidRDefault="00A030DD" w:rsidP="00B82D9A">
      <w:pPr>
        <w:spacing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December 1, 2022 – November 30, 2023</w:t>
      </w:r>
    </w:p>
    <w:p w14:paraId="61B779DA" w14:textId="77777777" w:rsidR="00A030DD" w:rsidRDefault="00A030DD" w:rsidP="00B82D9A">
      <w:pPr>
        <w:spacing w:line="240" w:lineRule="auto"/>
        <w:rPr>
          <w:rFonts w:ascii="Calibri-Bold" w:hAnsi="Calibri-Bold" w:cs="Calibri-Bold"/>
          <w:kern w:val="0"/>
          <w:sz w:val="28"/>
          <w:szCs w:val="28"/>
        </w:rPr>
      </w:pPr>
    </w:p>
    <w:p w14:paraId="3319E187" w14:textId="15D5EFE0" w:rsidR="00A030DD" w:rsidRPr="00A030DD" w:rsidRDefault="00A030DD" w:rsidP="00B82D9A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A030DD">
        <w:rPr>
          <w:b/>
          <w:bCs/>
        </w:rPr>
        <w:t>Full-Time Vacancies</w:t>
      </w:r>
    </w:p>
    <w:p w14:paraId="41714D01" w14:textId="6CB1D5AC" w:rsidR="00A030DD" w:rsidRPr="009B22A2" w:rsidRDefault="00A030DD" w:rsidP="00B82D9A">
      <w:pPr>
        <w:spacing w:line="240" w:lineRule="auto"/>
        <w:ind w:left="360"/>
        <w:rPr>
          <w:i/>
          <w:iCs/>
        </w:rPr>
      </w:pPr>
      <w:r w:rsidRPr="009B22A2">
        <w:rPr>
          <w:i/>
          <w:iCs/>
        </w:rPr>
        <w:t xml:space="preserve">A list of all full-time vacancies filled by the station’s employment during the preceding year, identified by job title. </w:t>
      </w:r>
    </w:p>
    <w:p w14:paraId="7F8F486C" w14:textId="5D4812A7" w:rsidR="00A030DD" w:rsidRDefault="00B82D9A" w:rsidP="00B82D9A">
      <w:pPr>
        <w:spacing w:line="240" w:lineRule="auto"/>
        <w:ind w:left="360"/>
      </w:pPr>
      <w:r>
        <w:t xml:space="preserve">N/A – No job openings at the station over the past year. </w:t>
      </w:r>
    </w:p>
    <w:p w14:paraId="624FB34A" w14:textId="77777777" w:rsidR="00B82D9A" w:rsidRDefault="00B82D9A" w:rsidP="00B82D9A">
      <w:pPr>
        <w:spacing w:line="240" w:lineRule="auto"/>
        <w:ind w:left="360"/>
      </w:pPr>
    </w:p>
    <w:p w14:paraId="153EBB1D" w14:textId="2B1B9174" w:rsidR="00A030DD" w:rsidRPr="00B82D9A" w:rsidRDefault="00A030DD" w:rsidP="00B82D9A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82D9A">
        <w:rPr>
          <w:b/>
          <w:bCs/>
        </w:rPr>
        <w:t>Recruitment Sources Utilized for Each Search</w:t>
      </w:r>
    </w:p>
    <w:p w14:paraId="52C180F1" w14:textId="22054EFC" w:rsidR="00A030DD" w:rsidRPr="009B22A2" w:rsidRDefault="00B82D9A" w:rsidP="00B82D9A">
      <w:pPr>
        <w:spacing w:line="240" w:lineRule="auto"/>
        <w:ind w:left="360"/>
        <w:rPr>
          <w:i/>
          <w:iCs/>
        </w:rPr>
      </w:pPr>
      <w:r w:rsidRPr="009B22A2">
        <w:rPr>
          <w:i/>
          <w:iCs/>
        </w:rPr>
        <w:t>For each such vacancy, the recruitment sources utilized to fill the vacancy, identified by name, address, contact person, and telephone number.</w:t>
      </w:r>
    </w:p>
    <w:p w14:paraId="42214E8D" w14:textId="6EC999AC" w:rsidR="00B82D9A" w:rsidRDefault="00B82D9A" w:rsidP="00B82D9A">
      <w:pPr>
        <w:spacing w:line="240" w:lineRule="auto"/>
        <w:ind w:left="360"/>
      </w:pPr>
      <w:r>
        <w:t>N/A</w:t>
      </w:r>
    </w:p>
    <w:p w14:paraId="31FF0AC6" w14:textId="77777777" w:rsidR="00B82D9A" w:rsidRPr="00B82D9A" w:rsidRDefault="00B82D9A" w:rsidP="00B82D9A">
      <w:pPr>
        <w:spacing w:line="240" w:lineRule="auto"/>
        <w:ind w:left="360"/>
        <w:rPr>
          <w:b/>
          <w:bCs/>
        </w:rPr>
      </w:pPr>
    </w:p>
    <w:p w14:paraId="4863801D" w14:textId="6D550845" w:rsidR="00B82D9A" w:rsidRPr="00B82D9A" w:rsidRDefault="00B82D9A" w:rsidP="00B82D9A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82D9A">
        <w:rPr>
          <w:b/>
          <w:bCs/>
        </w:rPr>
        <w:t>Recruitment Sources that Referred Hired for Each Full-Time Position Search</w:t>
      </w:r>
    </w:p>
    <w:p w14:paraId="7BA65FBF" w14:textId="77C3EA9F" w:rsidR="00B82D9A" w:rsidRPr="009B22A2" w:rsidRDefault="00B82D9A" w:rsidP="00B82D9A">
      <w:pPr>
        <w:spacing w:line="240" w:lineRule="auto"/>
        <w:ind w:left="360"/>
        <w:rPr>
          <w:i/>
          <w:iCs/>
        </w:rPr>
      </w:pPr>
      <w:r w:rsidRPr="009B22A2">
        <w:rPr>
          <w:i/>
          <w:iCs/>
        </w:rPr>
        <w:t xml:space="preserve">For each such vacancy, the recruitment source that referred the hire for each full-time vacancy during the preceding year. </w:t>
      </w:r>
    </w:p>
    <w:p w14:paraId="316DB6FF" w14:textId="720E5113" w:rsidR="00B82D9A" w:rsidRDefault="00B82D9A" w:rsidP="00B82D9A">
      <w:pPr>
        <w:spacing w:line="240" w:lineRule="auto"/>
        <w:ind w:left="360"/>
      </w:pPr>
      <w:r>
        <w:t>N/A</w:t>
      </w:r>
    </w:p>
    <w:p w14:paraId="3C57C1F7" w14:textId="77777777" w:rsidR="00B82D9A" w:rsidRDefault="00B82D9A" w:rsidP="00B82D9A">
      <w:pPr>
        <w:spacing w:line="240" w:lineRule="auto"/>
        <w:ind w:left="360"/>
      </w:pPr>
    </w:p>
    <w:p w14:paraId="0527C942" w14:textId="52839280" w:rsidR="00B82D9A" w:rsidRPr="00B82D9A" w:rsidRDefault="00B82D9A" w:rsidP="00B82D9A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82D9A">
        <w:rPr>
          <w:b/>
          <w:bCs/>
        </w:rPr>
        <w:t>Total Number of Persons Interviewed by Each Recruitment Source</w:t>
      </w:r>
    </w:p>
    <w:p w14:paraId="14825D0F" w14:textId="539C2457" w:rsidR="00B82D9A" w:rsidRPr="009B22A2" w:rsidRDefault="00B82D9A" w:rsidP="00B82D9A">
      <w:pPr>
        <w:spacing w:line="240" w:lineRule="auto"/>
        <w:ind w:left="360"/>
        <w:rPr>
          <w:i/>
          <w:iCs/>
        </w:rPr>
      </w:pPr>
      <w:r w:rsidRPr="009B22A2">
        <w:rPr>
          <w:i/>
          <w:iCs/>
        </w:rPr>
        <w:t xml:space="preserve">For Each such vacancy, data reflecting the total number of persons interviewed for full-time vacancies during the preceding year and the total number of interviewees referred by each recruitment source utilized in connection with such vacancies. </w:t>
      </w:r>
    </w:p>
    <w:p w14:paraId="77082763" w14:textId="3783E800" w:rsidR="00B82D9A" w:rsidRDefault="00B82D9A" w:rsidP="00B82D9A">
      <w:pPr>
        <w:spacing w:line="240" w:lineRule="auto"/>
        <w:ind w:left="360"/>
      </w:pPr>
      <w:r>
        <w:t>N/A</w:t>
      </w:r>
    </w:p>
    <w:p w14:paraId="7A7292D5" w14:textId="77777777" w:rsidR="00B82D9A" w:rsidRDefault="00B82D9A" w:rsidP="00B82D9A">
      <w:pPr>
        <w:spacing w:line="240" w:lineRule="auto"/>
        <w:ind w:left="360"/>
      </w:pPr>
    </w:p>
    <w:p w14:paraId="4B3ADC4A" w14:textId="4E1AD8C5" w:rsidR="00B82D9A" w:rsidRPr="009B22A2" w:rsidRDefault="00B82D9A" w:rsidP="00B82D9A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9B22A2">
        <w:rPr>
          <w:b/>
          <w:bCs/>
        </w:rPr>
        <w:t>Prong 3 Long-Term Recruitment Initiatives</w:t>
      </w:r>
    </w:p>
    <w:p w14:paraId="39423D33" w14:textId="68531521" w:rsidR="009B22A2" w:rsidRPr="009B22A2" w:rsidRDefault="00B82D9A" w:rsidP="009B22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kern w:val="0"/>
          <w:sz w:val="24"/>
          <w:szCs w:val="24"/>
        </w:rPr>
      </w:pPr>
      <w:r w:rsidRPr="009B22A2">
        <w:rPr>
          <w:rFonts w:ascii="Calibri" w:hAnsi="Calibri" w:cs="Calibri"/>
          <w:i/>
          <w:iCs/>
          <w:kern w:val="0"/>
          <w:sz w:val="24"/>
          <w:szCs w:val="24"/>
        </w:rPr>
        <w:t xml:space="preserve">The FCC’s EEO rules require broadcasters subject to the </w:t>
      </w:r>
      <w:r w:rsidR="003501D1" w:rsidRPr="009B22A2">
        <w:rPr>
          <w:rFonts w:ascii="Calibri" w:hAnsi="Calibri" w:cs="Calibri"/>
          <w:i/>
          <w:iCs/>
          <w:kern w:val="0"/>
          <w:sz w:val="24"/>
          <w:szCs w:val="24"/>
        </w:rPr>
        <w:t>recruitment.</w:t>
      </w:r>
    </w:p>
    <w:p w14:paraId="130C8C6A" w14:textId="77777777" w:rsidR="009B22A2" w:rsidRPr="009B22A2" w:rsidRDefault="00B82D9A" w:rsidP="009B22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kern w:val="0"/>
          <w:sz w:val="24"/>
          <w:szCs w:val="24"/>
        </w:rPr>
      </w:pPr>
      <w:r w:rsidRPr="009B22A2">
        <w:rPr>
          <w:rFonts w:ascii="Calibri" w:hAnsi="Calibri" w:cs="Calibri"/>
          <w:i/>
          <w:iCs/>
          <w:kern w:val="0"/>
          <w:sz w:val="24"/>
          <w:szCs w:val="24"/>
        </w:rPr>
        <w:t>requirements to complete four (for broadcast employment units with more</w:t>
      </w:r>
    </w:p>
    <w:p w14:paraId="10070648" w14:textId="77777777" w:rsidR="009B22A2" w:rsidRPr="009B22A2" w:rsidRDefault="00B82D9A" w:rsidP="009B22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kern w:val="0"/>
          <w:sz w:val="24"/>
          <w:szCs w:val="24"/>
        </w:rPr>
      </w:pPr>
      <w:r w:rsidRPr="009B22A2">
        <w:rPr>
          <w:rFonts w:ascii="Calibri" w:hAnsi="Calibri" w:cs="Calibri"/>
          <w:i/>
          <w:iCs/>
          <w:kern w:val="0"/>
          <w:sz w:val="24"/>
          <w:szCs w:val="24"/>
        </w:rPr>
        <w:t>than 10 full‐time employees located in larger markets) longer‐term</w:t>
      </w:r>
    </w:p>
    <w:p w14:paraId="7806F4CE" w14:textId="4C492395" w:rsidR="009B22A2" w:rsidRPr="009B22A2" w:rsidRDefault="00B82D9A" w:rsidP="009B22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kern w:val="0"/>
          <w:sz w:val="24"/>
          <w:szCs w:val="24"/>
        </w:rPr>
      </w:pPr>
      <w:r w:rsidRPr="009B22A2">
        <w:rPr>
          <w:rFonts w:ascii="Calibri" w:hAnsi="Calibri" w:cs="Calibri"/>
          <w:i/>
          <w:iCs/>
          <w:kern w:val="0"/>
          <w:sz w:val="24"/>
          <w:szCs w:val="24"/>
        </w:rPr>
        <w:t>recruitment initiatives within a two‐year period. These initiatives can include job fairs, mentoring, scholarship and internship programs and other community events designed to inform the public about employment opportunities in broadcasting.</w:t>
      </w:r>
    </w:p>
    <w:p w14:paraId="54B578BE" w14:textId="77777777" w:rsidR="009B22A2" w:rsidRDefault="009B22A2" w:rsidP="009B22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0"/>
          <w:sz w:val="24"/>
          <w:szCs w:val="24"/>
        </w:rPr>
      </w:pPr>
    </w:p>
    <w:p w14:paraId="2BA60894" w14:textId="3A7A46FE" w:rsidR="004A5103" w:rsidRPr="00E1563A" w:rsidRDefault="009B22A2" w:rsidP="00E1563A">
      <w:pPr>
        <w:autoSpaceDE w:val="0"/>
        <w:autoSpaceDN w:val="0"/>
        <w:adjustRightInd w:val="0"/>
        <w:spacing w:after="0" w:line="240" w:lineRule="auto"/>
        <w:ind w:left="360"/>
      </w:pPr>
      <w:r>
        <w:lastRenderedPageBreak/>
        <w:t xml:space="preserve">Since KSMQ has 10 full-time employees, we are required to comply with at least </w:t>
      </w:r>
      <w:r w:rsidR="009461F8">
        <w:t>two</w:t>
      </w:r>
      <w:r>
        <w:t xml:space="preserve"> long-term recruitment initiatives every two-year reporting period as outlined by the FCC</w:t>
      </w:r>
      <w:r w:rsidR="00665501">
        <w:t>.</w:t>
      </w:r>
      <w:r>
        <w:t xml:space="preserve"> </w:t>
      </w:r>
    </w:p>
    <w:p w14:paraId="35B3B4EE" w14:textId="42ED7B75" w:rsidR="009B22A2" w:rsidRDefault="009B22A2" w:rsidP="009B22A2">
      <w:pPr>
        <w:autoSpaceDE w:val="0"/>
        <w:autoSpaceDN w:val="0"/>
        <w:adjustRightInd w:val="0"/>
        <w:spacing w:after="0" w:line="240" w:lineRule="auto"/>
        <w:ind w:left="360"/>
      </w:pPr>
      <w:r w:rsidRPr="009B22A2">
        <w:rPr>
          <w:b/>
          <w:bCs/>
        </w:rPr>
        <w:t>(iv)  Participation in events with educational institutions relating to career opportunities in broadcast</w:t>
      </w:r>
      <w:r>
        <w:t xml:space="preserve"> </w:t>
      </w:r>
    </w:p>
    <w:p w14:paraId="6C8B604B" w14:textId="294DC2CE" w:rsidR="00F171BE" w:rsidRDefault="009B22A2" w:rsidP="00F17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In June, 2022, KSMQ partnered with an English language arts class at Austin High School, working with students on how to produce videos from concept to finished film.  </w:t>
      </w:r>
      <w:r w:rsidR="00884EC8">
        <w:t xml:space="preserve">Students were also </w:t>
      </w:r>
      <w:r w:rsidR="001B7CCC">
        <w:t>spent a day at the station learning how a broadcast television station operates</w:t>
      </w:r>
      <w:r w:rsidR="0091622D">
        <w:t xml:space="preserve"> and attended a mock filming of a production in the KSMQ studio</w:t>
      </w:r>
      <w:r w:rsidR="00F44509">
        <w:t xml:space="preserve">, learning </w:t>
      </w:r>
      <w:r w:rsidR="004A5103">
        <w:t xml:space="preserve">technical skills relating to broadcast television.  </w:t>
      </w:r>
    </w:p>
    <w:p w14:paraId="71E0EAD5" w14:textId="012FEAC4" w:rsidR="0091622D" w:rsidRDefault="00F171BE" w:rsidP="00F171BE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2.   </w:t>
      </w:r>
      <w:r w:rsidR="0091622D">
        <w:t xml:space="preserve"> </w:t>
      </w:r>
      <w:r>
        <w:t>The station also conducted several tours</w:t>
      </w:r>
      <w:r>
        <w:t xml:space="preserve"> &amp; learning sessions</w:t>
      </w:r>
      <w:r>
        <w:t xml:space="preserve"> of the broadcast center with service organizations, community members, &amp; local high school &amp; college students interested in pursuing a career in broadcast television.</w:t>
      </w:r>
    </w:p>
    <w:p w14:paraId="7409AD11" w14:textId="45CE2B32" w:rsidR="00E1563A" w:rsidRDefault="00E1563A" w:rsidP="009B22A2">
      <w:pPr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 w:rsidRPr="005F2E88">
        <w:rPr>
          <w:b/>
          <w:bCs/>
        </w:rPr>
        <w:t>(v) establishment of an internship program designed to assist members of the comm</w:t>
      </w:r>
      <w:r w:rsidR="005F2E88" w:rsidRPr="005F2E88">
        <w:rPr>
          <w:b/>
          <w:bCs/>
        </w:rPr>
        <w:t xml:space="preserve">unity to acquire skills needed for broadcast employment.  </w:t>
      </w:r>
    </w:p>
    <w:p w14:paraId="14B9D657" w14:textId="5FACC713" w:rsidR="005879F5" w:rsidRDefault="005F2E88" w:rsidP="00F171BE">
      <w:pPr>
        <w:autoSpaceDE w:val="0"/>
        <w:autoSpaceDN w:val="0"/>
        <w:adjustRightInd w:val="0"/>
        <w:spacing w:after="0" w:line="240" w:lineRule="auto"/>
        <w:ind w:left="360"/>
      </w:pPr>
      <w:r>
        <w:t>In Fall</w:t>
      </w:r>
      <w:r w:rsidR="005879F5">
        <w:t xml:space="preserve"> semester</w:t>
      </w:r>
      <w:r>
        <w:t xml:space="preserve"> of 2022, KSMQ partnered with Austin High School to have an intern work with one of our producers </w:t>
      </w:r>
      <w:r w:rsidR="005879F5">
        <w:t>learning technical skills relating to film production.</w:t>
      </w:r>
      <w:r w:rsidR="004C5A25">
        <w:t xml:space="preserve"> </w:t>
      </w:r>
    </w:p>
    <w:p w14:paraId="71ED9106" w14:textId="77777777" w:rsidR="003E1C89" w:rsidRDefault="003E1C89" w:rsidP="009B22A2">
      <w:pPr>
        <w:autoSpaceDE w:val="0"/>
        <w:autoSpaceDN w:val="0"/>
        <w:adjustRightInd w:val="0"/>
        <w:spacing w:after="0" w:line="240" w:lineRule="auto"/>
        <w:ind w:left="360"/>
      </w:pPr>
      <w:r w:rsidRPr="003E1C89">
        <w:rPr>
          <w:b/>
          <w:bCs/>
        </w:rPr>
        <w:t xml:space="preserve">(viii) </w:t>
      </w:r>
      <w:r w:rsidR="009B22A2" w:rsidRPr="003E1C89">
        <w:rPr>
          <w:b/>
          <w:bCs/>
        </w:rPr>
        <w:t>Mentoring and training program for station personnel</w:t>
      </w:r>
    </w:p>
    <w:p w14:paraId="1BF7EED6" w14:textId="52BFF807" w:rsidR="00F171BE" w:rsidRDefault="009B22A2" w:rsidP="00F17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Provision of training to all personnel as to methods of ensuring equal employment opportunity and preventing discrimination in the workplace was provided through </w:t>
      </w:r>
      <w:r w:rsidR="00A80501">
        <w:t>a</w:t>
      </w:r>
      <w:r w:rsidR="00BF1545">
        <w:t>n online platform</w:t>
      </w:r>
      <w:r>
        <w:t xml:space="preserve">. This was titled Harassment and Diversity Training and was provided to all employees, managers, and sub-contractors. </w:t>
      </w:r>
    </w:p>
    <w:p w14:paraId="2F7240B5" w14:textId="1D85CA67" w:rsidR="009B22A2" w:rsidRPr="00F171BE" w:rsidRDefault="003501D1" w:rsidP="00F17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t xml:space="preserve">Staff </w:t>
      </w:r>
      <w:r w:rsidR="00F171BE">
        <w:t>participated in trainings and mentoring programs provided by PBS &amp; NETA</w:t>
      </w:r>
      <w:r w:rsidR="00EB7461">
        <w:t xml:space="preserve"> to </w:t>
      </w:r>
      <w:r w:rsidR="009B22A2">
        <w:t>enrich their leadership skills and improve their job skills to help them achieve promotions.</w:t>
      </w:r>
      <w:r>
        <w:t xml:space="preserve">  </w:t>
      </w:r>
      <w:r w:rsidR="00EB7461">
        <w:t>Severa</w:t>
      </w:r>
      <w:r>
        <w:t xml:space="preserve">l talent &amp; skill development training opportunities through NETA, PBS, and CPB </w:t>
      </w:r>
      <w:r w:rsidR="00EB7461">
        <w:t xml:space="preserve">were offered </w:t>
      </w:r>
      <w:r>
        <w:t>throughout the year.</w:t>
      </w:r>
    </w:p>
    <w:sectPr w:rsidR="009B22A2" w:rsidRPr="00F1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E16"/>
    <w:multiLevelType w:val="hybridMultilevel"/>
    <w:tmpl w:val="1436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4537"/>
    <w:multiLevelType w:val="hybridMultilevel"/>
    <w:tmpl w:val="E9D4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327B"/>
    <w:multiLevelType w:val="hybridMultilevel"/>
    <w:tmpl w:val="FCEA5568"/>
    <w:lvl w:ilvl="0" w:tplc="285A8D8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88537">
    <w:abstractNumId w:val="2"/>
  </w:num>
  <w:num w:numId="2" w16cid:durableId="347559928">
    <w:abstractNumId w:val="0"/>
  </w:num>
  <w:num w:numId="3" w16cid:durableId="83060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DD"/>
    <w:rsid w:val="001B7CCC"/>
    <w:rsid w:val="003001E7"/>
    <w:rsid w:val="003501D1"/>
    <w:rsid w:val="003E1C89"/>
    <w:rsid w:val="004A5103"/>
    <w:rsid w:val="004C5A25"/>
    <w:rsid w:val="005879F5"/>
    <w:rsid w:val="005F2E88"/>
    <w:rsid w:val="00665501"/>
    <w:rsid w:val="006776F2"/>
    <w:rsid w:val="00876136"/>
    <w:rsid w:val="00884EC8"/>
    <w:rsid w:val="0091622D"/>
    <w:rsid w:val="009461F8"/>
    <w:rsid w:val="009B22A2"/>
    <w:rsid w:val="00A030DD"/>
    <w:rsid w:val="00A80501"/>
    <w:rsid w:val="00B82D9A"/>
    <w:rsid w:val="00BF1545"/>
    <w:rsid w:val="00E1563A"/>
    <w:rsid w:val="00EB7461"/>
    <w:rsid w:val="00F171BE"/>
    <w:rsid w:val="00F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9A5A"/>
  <w15:chartTrackingRefBased/>
  <w15:docId w15:val="{93B4E81A-C690-4BEE-B112-CFB1340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DD"/>
    <w:pPr>
      <w:ind w:left="720"/>
      <w:contextualSpacing/>
    </w:pPr>
  </w:style>
  <w:style w:type="table" w:styleId="TableGrid">
    <w:name w:val="Table Grid"/>
    <w:basedOn w:val="TableNormal"/>
    <w:uiPriority w:val="39"/>
    <w:rsid w:val="00A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A030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Hartman</dc:creator>
  <cp:keywords/>
  <dc:description/>
  <cp:lastModifiedBy>Robert Hartman</cp:lastModifiedBy>
  <cp:revision>18</cp:revision>
  <dcterms:created xsi:type="dcterms:W3CDTF">2023-11-27T22:14:00Z</dcterms:created>
  <dcterms:modified xsi:type="dcterms:W3CDTF">2023-11-30T19:10:00Z</dcterms:modified>
</cp:coreProperties>
</file>